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overflowPunct w:val="true"/>
        <w:spacing w:lineRule="auto" w:line="237" w:before="0" w:after="0"/>
        <w:ind w:left="327" w:right="180" w:hanging="197"/>
        <w:rPr/>
      </w:pPr>
      <w:bookmarkStart w:id="0" w:name="page1"/>
      <w:bookmarkEnd w:id="0"/>
      <w:r>
        <w:rPr>
          <w:rFonts w:cs="Times" w:ascii="Times" w:hAnsi="Times"/>
          <w:b/>
          <w:bCs/>
          <w:sz w:val="24"/>
          <w:szCs w:val="24"/>
          <w:lang w:val="it-IT"/>
        </w:rPr>
        <w:t>Bando di gara per la concessione di un’area per la realizzazione di una pista di pattinaggio su ghiaccio, per la stagione invernale 201</w:t>
      </w:r>
      <w:r>
        <w:rPr>
          <w:rFonts w:cs="Times" w:ascii="Times" w:hAnsi="Times"/>
          <w:b/>
          <w:bCs/>
          <w:sz w:val="24"/>
          <w:szCs w:val="24"/>
          <w:lang w:val="it-IT"/>
        </w:rPr>
        <w:t>8</w:t>
      </w:r>
      <w:r>
        <w:rPr>
          <w:rFonts w:cs="Times" w:ascii="Times" w:hAnsi="Times"/>
          <w:b/>
          <w:bCs/>
          <w:sz w:val="24"/>
          <w:szCs w:val="24"/>
          <w:lang w:val="it-IT"/>
        </w:rPr>
        <w:t>/201</w:t>
      </w:r>
      <w:r>
        <w:rPr>
          <w:rFonts w:cs="Times" w:ascii="Times" w:hAnsi="Times"/>
          <w:b/>
          <w:bCs/>
          <w:sz w:val="24"/>
          <w:szCs w:val="24"/>
          <w:lang w:val="it-IT"/>
        </w:rPr>
        <w:t>9</w:t>
      </w:r>
    </w:p>
    <w:p>
      <w:pPr>
        <w:pStyle w:val="Normal"/>
        <w:widowControl w:val="false"/>
        <w:spacing w:lineRule="exact" w:line="284"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5" w:before="0" w:after="0"/>
        <w:ind w:left="7" w:right="40" w:hanging="0"/>
        <w:jc w:val="both"/>
        <w:rPr/>
      </w:pPr>
      <w:r>
        <w:rPr>
          <w:rFonts w:cs="Times" w:ascii="Times" w:hAnsi="Times"/>
          <w:sz w:val="24"/>
          <w:szCs w:val="24"/>
          <w:lang w:val="it-IT"/>
        </w:rPr>
        <w:t>Il Comune di Corsico intende raccogliere manifestazioni di interesse per la realizzazione di una pista di pattinaggio su ghiaccio, da collocare in Via Cavour (fontana dell’Incontro), nel periodo compreso indicativamente tra il mese di dicembre 201</w:t>
      </w:r>
      <w:r>
        <w:rPr>
          <w:rFonts w:cs="Times" w:ascii="Times" w:hAnsi="Times"/>
          <w:sz w:val="24"/>
          <w:szCs w:val="24"/>
          <w:lang w:val="it-IT"/>
        </w:rPr>
        <w:t>8</w:t>
      </w:r>
      <w:r>
        <w:rPr>
          <w:rFonts w:cs="Times" w:ascii="Times" w:hAnsi="Times"/>
          <w:sz w:val="24"/>
          <w:szCs w:val="24"/>
          <w:lang w:val="it-IT"/>
        </w:rPr>
        <w:t xml:space="preserve"> e febbraio 201</w:t>
      </w:r>
      <w:r>
        <w:rPr>
          <w:rFonts w:cs="Times" w:ascii="Times" w:hAnsi="Times"/>
          <w:sz w:val="24"/>
          <w:szCs w:val="24"/>
          <w:lang w:val="it-IT"/>
        </w:rPr>
        <w:t>9</w:t>
      </w:r>
      <w:r>
        <w:rPr>
          <w:rFonts w:cs="Times" w:ascii="Times" w:hAnsi="Times"/>
          <w:sz w:val="24"/>
          <w:szCs w:val="24"/>
          <w:lang w:val="it-IT"/>
        </w:rPr>
        <w:t>, fatte salve eventuali proroghe o anticipazioni da concordare tra l’Amministrazione Comunale e l’aggiudicatario.</w:t>
      </w:r>
    </w:p>
    <w:p>
      <w:pPr>
        <w:pStyle w:val="Normal"/>
        <w:widowControl w:val="false"/>
        <w:spacing w:lineRule="exact" w:line="290"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5" w:before="0" w:after="0"/>
        <w:ind w:left="7" w:hanging="0"/>
        <w:rPr>
          <w:rFonts w:ascii="Times New Roman" w:hAnsi="Times New Roman"/>
          <w:sz w:val="24"/>
          <w:szCs w:val="24"/>
          <w:lang w:val="it-IT"/>
        </w:rPr>
      </w:pPr>
      <w:r>
        <w:rPr>
          <w:rFonts w:cs="Times" w:ascii="Times" w:hAnsi="Times"/>
          <w:sz w:val="24"/>
          <w:szCs w:val="24"/>
          <w:lang w:val="it-IT"/>
        </w:rPr>
        <w:t>La pista dovrà avere dimensioni interne indicativamente almeno di metri 16 x 12; è ammessa una variazione fino al raggiungimento della superficie massima copribile da verificare in luogo.</w:t>
      </w:r>
    </w:p>
    <w:p>
      <w:pPr>
        <w:pStyle w:val="Normal"/>
        <w:widowControl w:val="false"/>
        <w:spacing w:lineRule="exact" w:line="288"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7" w:before="0" w:after="0"/>
        <w:ind w:left="7" w:right="40" w:hanging="0"/>
        <w:jc w:val="both"/>
        <w:rPr>
          <w:rFonts w:ascii="Times" w:hAnsi="Times" w:cs="Times"/>
          <w:sz w:val="24"/>
          <w:szCs w:val="24"/>
          <w:lang w:val="it-IT"/>
        </w:rPr>
      </w:pPr>
      <w:r>
        <w:rPr>
          <w:rFonts w:cs="Times" w:ascii="Times" w:hAnsi="Times"/>
          <w:sz w:val="24"/>
          <w:szCs w:val="24"/>
          <w:lang w:val="it-IT"/>
        </w:rPr>
        <w:t>I soggetti legittimati a manifestare interesse, sono i soggetti singoli (imprese individuali, società commerciali, società cooperative), i consorzi, i raggruppamenti temporanei di imprese – costituiti o costituendi – enti, associazioni o fondazioni.</w:t>
      </w:r>
    </w:p>
    <w:p>
      <w:pPr>
        <w:pStyle w:val="Normal"/>
        <w:widowControl w:val="false"/>
        <w:overflowPunct w:val="true"/>
        <w:spacing w:lineRule="auto" w:line="237" w:before="0" w:after="0"/>
        <w:ind w:left="7" w:right="40" w:hanging="0"/>
        <w:jc w:val="both"/>
        <w:rPr>
          <w:rFonts w:ascii="Times" w:hAnsi="Times" w:cs="Times"/>
          <w:sz w:val="24"/>
          <w:szCs w:val="24"/>
          <w:lang w:val="it-IT"/>
        </w:rPr>
      </w:pPr>
      <w:r>
        <w:rPr>
          <w:rFonts w:cs="Times" w:ascii="Times" w:hAnsi="Times"/>
          <w:sz w:val="24"/>
          <w:szCs w:val="24"/>
          <w:lang w:val="it-IT"/>
        </w:rPr>
        <w:t>Non è consentito ad un medesimo soggetto di partecipare alla gara presentando più domande di ammissione come singolo e/o come concorrente in una delle forme associative di cui sopra, ovvero avere rapporti di controllo e collegamento con altre imprese che partecipano alla gara singolarmente o nelle forme associative sopra elencate, ai sensi dell’art. 2329 del c.c., a pena di esclusione di tutte le domande presentate.</w:t>
      </w:r>
    </w:p>
    <w:p>
      <w:pPr>
        <w:pStyle w:val="Normal"/>
        <w:widowControl w:val="false"/>
        <w:overflowPunct w:val="true"/>
        <w:spacing w:lineRule="auto" w:line="237" w:before="0" w:after="0"/>
        <w:ind w:left="7" w:right="40" w:hanging="0"/>
        <w:jc w:val="both"/>
        <w:rPr>
          <w:rFonts w:ascii="Times" w:hAnsi="Times" w:cs="Times"/>
          <w:sz w:val="24"/>
          <w:szCs w:val="24"/>
          <w:lang w:val="it-IT"/>
        </w:rPr>
      </w:pPr>
      <w:r>
        <w:rPr>
          <w:rFonts w:cs="Times" w:ascii="Times" w:hAnsi="Times"/>
          <w:sz w:val="24"/>
          <w:szCs w:val="24"/>
          <w:lang w:val="it-IT"/>
        </w:rPr>
        <w:t>I concorrenti devono, in ogni caso, essere in possesso dei seguenti requisiti soggettivi:</w:t>
      </w:r>
    </w:p>
    <w:p>
      <w:pPr>
        <w:pStyle w:val="Normal"/>
        <w:widowControl w:val="false"/>
        <w:numPr>
          <w:ilvl w:val="0"/>
          <w:numId w:val="5"/>
        </w:numPr>
        <w:overflowPunct w:val="true"/>
        <w:spacing w:lineRule="auto" w:line="237" w:before="0" w:after="0"/>
        <w:ind w:left="367" w:right="40" w:hanging="360"/>
        <w:jc w:val="both"/>
        <w:rPr>
          <w:rFonts w:ascii="Times New Roman" w:hAnsi="Times New Roman"/>
          <w:sz w:val="24"/>
          <w:szCs w:val="24"/>
          <w:lang w:val="it-IT"/>
        </w:rPr>
      </w:pPr>
      <w:r>
        <w:rPr>
          <w:rFonts w:cs="Times" w:ascii="Times" w:hAnsi="Times"/>
          <w:sz w:val="24"/>
          <w:szCs w:val="24"/>
          <w:lang w:val="it-IT"/>
        </w:rPr>
        <w:t>Requisito di ordine generale di non ricadere in uno dei casi di esclusione previsti dall’art. 80 del dlgs n. 50 del 2015;</w:t>
      </w:r>
    </w:p>
    <w:p>
      <w:pPr>
        <w:pStyle w:val="Normal"/>
        <w:widowControl w:val="false"/>
        <w:numPr>
          <w:ilvl w:val="0"/>
          <w:numId w:val="5"/>
        </w:numPr>
        <w:overflowPunct w:val="true"/>
        <w:spacing w:lineRule="auto" w:line="237" w:before="0" w:after="0"/>
        <w:ind w:left="367" w:right="40" w:hanging="360"/>
        <w:jc w:val="both"/>
        <w:rPr>
          <w:rFonts w:ascii="Times New Roman" w:hAnsi="Times New Roman"/>
          <w:sz w:val="24"/>
          <w:szCs w:val="24"/>
          <w:lang w:val="it-IT"/>
        </w:rPr>
      </w:pPr>
      <w:r>
        <w:rPr>
          <w:rFonts w:cs="Times" w:ascii="Times" w:hAnsi="Times"/>
          <w:sz w:val="24"/>
          <w:szCs w:val="24"/>
          <w:lang w:val="it-IT"/>
        </w:rPr>
        <w:t>Aver svolto servizi analoghi a quello oggetto del presente avviso per almeno tre anni nell’ultimo quinquennio.</w:t>
      </w:r>
    </w:p>
    <w:p>
      <w:pPr>
        <w:pStyle w:val="Normal"/>
        <w:widowControl w:val="false"/>
        <w:spacing w:lineRule="exact" w:line="289"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5" w:before="0" w:after="0"/>
        <w:ind w:left="7" w:right="40" w:hanging="0"/>
        <w:jc w:val="both"/>
        <w:rPr>
          <w:rFonts w:ascii="Times New Roman" w:hAnsi="Times New Roman"/>
          <w:sz w:val="24"/>
          <w:szCs w:val="24"/>
          <w:lang w:val="it-IT"/>
        </w:rPr>
      </w:pPr>
      <w:r>
        <w:rPr>
          <w:rFonts w:cs="Times" w:ascii="Times" w:hAnsi="Times"/>
          <w:sz w:val="24"/>
          <w:szCs w:val="24"/>
          <w:lang w:val="it-IT"/>
        </w:rPr>
        <w:t>L’aggiudicatario dovrà provvedere, a proprio esclusivo carico e sotto la propria diretta responsabilità:</w:t>
      </w:r>
    </w:p>
    <w:p>
      <w:pPr>
        <w:pStyle w:val="Normal"/>
        <w:widowControl w:val="false"/>
        <w:spacing w:lineRule="exact" w:line="288"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numPr>
          <w:ilvl w:val="0"/>
          <w:numId w:val="1"/>
        </w:numPr>
        <w:tabs>
          <w:tab w:val="left" w:pos="367" w:leader="none"/>
        </w:tabs>
        <w:overflowPunct w:val="true"/>
        <w:spacing w:lineRule="auto" w:line="235" w:before="0" w:after="0"/>
        <w:ind w:left="367" w:right="40" w:hanging="367"/>
        <w:jc w:val="both"/>
        <w:rPr>
          <w:rFonts w:ascii="Times" w:hAnsi="Times" w:cs="Times"/>
          <w:sz w:val="24"/>
          <w:szCs w:val="24"/>
          <w:lang w:val="it-IT"/>
        </w:rPr>
      </w:pPr>
      <w:r>
        <w:rPr>
          <w:rFonts w:cs="Times" w:ascii="Times" w:hAnsi="Times"/>
          <w:sz w:val="24"/>
          <w:szCs w:val="24"/>
          <w:lang w:val="it-IT"/>
        </w:rPr>
        <w:t xml:space="preserve">ad assicurare l’attività e la piena fruibilità dell’impianto per l’attività sportiva; </w:t>
      </w:r>
    </w:p>
    <w:p>
      <w:pPr>
        <w:pStyle w:val="Normal"/>
        <w:widowControl w:val="false"/>
        <w:spacing w:lineRule="exact" w:line="10"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0"/>
          <w:numId w:val="1"/>
        </w:numPr>
        <w:tabs>
          <w:tab w:val="left" w:pos="367" w:leader="none"/>
        </w:tabs>
        <w:overflowPunct w:val="true"/>
        <w:spacing w:lineRule="auto" w:line="235" w:before="0" w:after="0"/>
        <w:ind w:left="367" w:right="40" w:hanging="367"/>
        <w:jc w:val="both"/>
        <w:rPr>
          <w:rFonts w:ascii="Times" w:hAnsi="Times" w:cs="Times"/>
          <w:sz w:val="24"/>
          <w:szCs w:val="24"/>
          <w:lang w:val="it-IT"/>
        </w:rPr>
      </w:pPr>
      <w:r>
        <w:rPr>
          <w:rFonts w:cs="Times" w:ascii="Times" w:hAnsi="Times"/>
          <w:sz w:val="24"/>
          <w:szCs w:val="24"/>
          <w:lang w:val="it-IT"/>
        </w:rPr>
        <w:t xml:space="preserve">al funzionamento, alla conduzione e alla manutenzione ordinaria delle piste e in particolare dovrà effettuare a proprio carico, le seguenti operazioni: </w:t>
      </w:r>
    </w:p>
    <w:p>
      <w:pPr>
        <w:pStyle w:val="Normal"/>
        <w:widowControl w:val="false"/>
        <w:spacing w:lineRule="exact" w:line="287"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1"/>
          <w:numId w:val="1"/>
        </w:numPr>
        <w:tabs>
          <w:tab w:val="left" w:pos="727" w:leader="none"/>
        </w:tabs>
        <w:overflowPunct w:val="true"/>
        <w:spacing w:lineRule="auto" w:line="235" w:before="0" w:after="0"/>
        <w:ind w:left="727" w:right="40" w:hanging="367"/>
        <w:jc w:val="both"/>
        <w:rPr>
          <w:rFonts w:ascii="Times" w:hAnsi="Times" w:cs="Times"/>
          <w:sz w:val="24"/>
          <w:szCs w:val="24"/>
          <w:lang w:val="it-IT"/>
        </w:rPr>
      </w:pPr>
      <w:r>
        <w:rPr>
          <w:rFonts w:cs="Times" w:ascii="Times" w:hAnsi="Times"/>
          <w:sz w:val="24"/>
          <w:szCs w:val="24"/>
          <w:lang w:val="it-IT"/>
        </w:rPr>
        <w:t xml:space="preserve">provvedere agli allacci ed all’intestazione a proprio carico dei consumi di acqua, luce, gas, necessari per il funzionamento della struttura, </w:t>
      </w:r>
    </w:p>
    <w:p>
      <w:pPr>
        <w:pStyle w:val="Normal"/>
        <w:widowControl w:val="false"/>
        <w:numPr>
          <w:ilvl w:val="1"/>
          <w:numId w:val="1"/>
        </w:numPr>
        <w:tabs>
          <w:tab w:val="left" w:pos="727" w:leader="none"/>
        </w:tabs>
        <w:overflowPunct w:val="true"/>
        <w:spacing w:lineRule="auto" w:line="235" w:before="0" w:after="0"/>
        <w:ind w:left="727" w:right="40" w:hanging="367"/>
        <w:jc w:val="both"/>
        <w:rPr>
          <w:rFonts w:ascii="Times" w:hAnsi="Times" w:cs="Times"/>
          <w:sz w:val="24"/>
          <w:szCs w:val="24"/>
          <w:lang w:val="it-IT"/>
        </w:rPr>
      </w:pPr>
      <w:r>
        <w:rPr>
          <w:rFonts w:cs="Times" w:ascii="Times" w:hAnsi="Times"/>
          <w:sz w:val="24"/>
          <w:szCs w:val="24"/>
          <w:lang w:val="it-IT"/>
        </w:rPr>
        <w:t>pagamento della TARI (tassa rifiuti) e TOSAP</w:t>
      </w:r>
    </w:p>
    <w:p>
      <w:pPr>
        <w:pStyle w:val="Normal"/>
        <w:widowControl w:val="false"/>
        <w:spacing w:lineRule="exact" w:line="11"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1"/>
          <w:numId w:val="1"/>
        </w:numPr>
        <w:tabs>
          <w:tab w:val="left" w:pos="727" w:leader="none"/>
        </w:tabs>
        <w:overflowPunct w:val="true"/>
        <w:spacing w:lineRule="auto" w:line="235" w:before="0" w:after="0"/>
        <w:ind w:left="727" w:right="40" w:hanging="367"/>
        <w:jc w:val="both"/>
        <w:rPr>
          <w:rFonts w:ascii="Times" w:hAnsi="Times" w:cs="Times"/>
          <w:sz w:val="24"/>
          <w:szCs w:val="24"/>
          <w:lang w:val="it-IT"/>
        </w:rPr>
      </w:pPr>
      <w:r>
        <w:rPr>
          <w:rFonts w:cs="Times" w:ascii="Times" w:hAnsi="Times"/>
          <w:sz w:val="24"/>
          <w:szCs w:val="24"/>
          <w:lang w:val="it-IT"/>
        </w:rPr>
        <w:t xml:space="preserve">controllo degli impianti in generale con proprio personale di custodia durante gli orari di apertura della pista; </w:t>
      </w:r>
    </w:p>
    <w:p>
      <w:pPr>
        <w:pStyle w:val="Normal"/>
        <w:widowControl w:val="false"/>
        <w:spacing w:lineRule="exact" w:line="11"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1"/>
          <w:numId w:val="1"/>
        </w:numPr>
        <w:tabs>
          <w:tab w:val="left" w:pos="727" w:leader="none"/>
        </w:tabs>
        <w:overflowPunct w:val="true"/>
        <w:spacing w:lineRule="auto" w:line="235" w:before="0" w:after="0"/>
        <w:ind w:left="727" w:right="80" w:hanging="367"/>
        <w:jc w:val="both"/>
        <w:rPr>
          <w:rFonts w:ascii="Times" w:hAnsi="Times" w:cs="Times"/>
          <w:sz w:val="24"/>
          <w:szCs w:val="24"/>
          <w:lang w:val="it-IT"/>
        </w:rPr>
      </w:pPr>
      <w:r>
        <w:rPr>
          <w:rFonts w:cs="Times" w:ascii="Times" w:hAnsi="Times"/>
          <w:sz w:val="24"/>
          <w:szCs w:val="24"/>
          <w:lang w:val="it-IT"/>
        </w:rPr>
        <w:t xml:space="preserve">pulizie giornaliere di tutti i locali di pertinenza dell’impianto e alle aree pubbliche immediatamente circostanti all’impianto; </w:t>
      </w:r>
    </w:p>
    <w:p>
      <w:pPr>
        <w:pStyle w:val="Normal"/>
        <w:widowControl w:val="false"/>
        <w:spacing w:lineRule="exact" w:line="11" w:before="0" w:after="0"/>
        <w:rPr>
          <w:rFonts w:ascii="Times" w:hAnsi="Times" w:cs="Times"/>
          <w:sz w:val="24"/>
          <w:szCs w:val="24"/>
          <w:lang w:val="it-IT"/>
        </w:rPr>
      </w:pPr>
      <w:r>
        <w:rPr>
          <w:rFonts w:cs="Times" w:ascii="Times" w:hAnsi="Times"/>
          <w:sz w:val="24"/>
          <w:szCs w:val="24"/>
          <w:lang w:val="it-IT"/>
        </w:rPr>
      </w:r>
    </w:p>
    <w:p>
      <w:pPr>
        <w:pStyle w:val="Normal"/>
        <w:widowControl w:val="false"/>
        <w:spacing w:lineRule="exact" w:line="11"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1"/>
          <w:numId w:val="1"/>
        </w:numPr>
        <w:tabs>
          <w:tab w:val="left" w:pos="727" w:leader="none"/>
        </w:tabs>
        <w:overflowPunct w:val="true"/>
        <w:spacing w:lineRule="auto" w:line="235" w:before="0" w:after="0"/>
        <w:ind w:left="727" w:right="40" w:hanging="367"/>
        <w:jc w:val="both"/>
        <w:rPr>
          <w:rFonts w:ascii="Times" w:hAnsi="Times" w:cs="Times"/>
          <w:sz w:val="24"/>
          <w:szCs w:val="24"/>
          <w:lang w:val="it-IT"/>
        </w:rPr>
      </w:pPr>
      <w:r>
        <w:rPr>
          <w:rFonts w:cs="Times" w:ascii="Times" w:hAnsi="Times"/>
          <w:sz w:val="24"/>
          <w:szCs w:val="24"/>
          <w:lang w:val="it-IT"/>
        </w:rPr>
        <w:t xml:space="preserve">montaggio e smontaggio di tutte le strutture dovranno essere effettuati senza precludere il passaggio dei pedoni, adottando tutte le misure necessarie per garantire la sicurezza dei passanti e del traffico veicolare circostante; </w:t>
      </w:r>
    </w:p>
    <w:p>
      <w:pPr>
        <w:pStyle w:val="Normal"/>
        <w:widowControl w:val="false"/>
        <w:numPr>
          <w:ilvl w:val="1"/>
          <w:numId w:val="1"/>
        </w:numPr>
        <w:tabs>
          <w:tab w:val="left" w:pos="727" w:leader="none"/>
        </w:tabs>
        <w:overflowPunct w:val="true"/>
        <w:spacing w:lineRule="auto" w:line="240" w:before="0" w:after="0"/>
        <w:ind w:left="727" w:hanging="367"/>
        <w:jc w:val="both"/>
        <w:rPr>
          <w:rFonts w:ascii="Times" w:hAnsi="Times" w:cs="Times"/>
          <w:sz w:val="24"/>
          <w:szCs w:val="24"/>
          <w:lang w:val="it-IT"/>
        </w:rPr>
      </w:pPr>
      <w:r>
        <w:rPr>
          <w:rFonts w:cs="Times" w:ascii="Times" w:hAnsi="Times"/>
          <w:sz w:val="24"/>
          <w:szCs w:val="24"/>
          <w:lang w:val="it-IT"/>
        </w:rPr>
        <w:t xml:space="preserve">rimozione e smaltimento del ghiaccio ottenuto dalla manutenzione della pista; </w:t>
      </w:r>
    </w:p>
    <w:p>
      <w:pPr>
        <w:pStyle w:val="Normal"/>
        <w:widowControl w:val="false"/>
        <w:spacing w:lineRule="exact" w:line="10"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1"/>
          <w:numId w:val="1"/>
        </w:numPr>
        <w:tabs>
          <w:tab w:val="left" w:pos="727" w:leader="none"/>
        </w:tabs>
        <w:overflowPunct w:val="true"/>
        <w:spacing w:lineRule="auto" w:line="235" w:before="0" w:after="0"/>
        <w:ind w:left="727" w:right="60" w:hanging="367"/>
        <w:jc w:val="both"/>
        <w:rPr>
          <w:rFonts w:ascii="Times" w:hAnsi="Times" w:cs="Times"/>
          <w:sz w:val="24"/>
          <w:szCs w:val="24"/>
          <w:lang w:val="it-IT"/>
        </w:rPr>
      </w:pPr>
      <w:r>
        <w:rPr>
          <w:rFonts w:cs="Times" w:ascii="Times" w:hAnsi="Times"/>
          <w:sz w:val="24"/>
          <w:szCs w:val="24"/>
          <w:lang w:val="it-IT"/>
        </w:rPr>
        <w:t xml:space="preserve">possesso dei seguenti documenti, almeno tre giorni prima della data fissata per l’inaugurazione dell’impianto: </w:t>
      </w:r>
    </w:p>
    <w:p>
      <w:pPr>
        <w:pStyle w:val="Normal"/>
        <w:widowControl w:val="false"/>
        <w:spacing w:lineRule="exact" w:line="11"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2"/>
          <w:numId w:val="1"/>
        </w:numPr>
        <w:tabs>
          <w:tab w:val="left" w:pos="1087" w:leader="none"/>
        </w:tabs>
        <w:overflowPunct w:val="true"/>
        <w:spacing w:lineRule="auto" w:line="235" w:before="0" w:after="0"/>
        <w:ind w:left="1087" w:right="40" w:hanging="355"/>
        <w:jc w:val="both"/>
        <w:rPr>
          <w:rFonts w:ascii="Times" w:hAnsi="Times" w:cs="Times"/>
          <w:sz w:val="24"/>
          <w:szCs w:val="24"/>
          <w:lang w:val="it-IT"/>
        </w:rPr>
      </w:pPr>
      <w:r>
        <w:rPr>
          <w:rFonts w:cs="Times" w:ascii="Times" w:hAnsi="Times"/>
          <w:sz w:val="24"/>
          <w:szCs w:val="24"/>
          <w:lang w:val="it-IT"/>
        </w:rPr>
        <w:t xml:space="preserve">relazione tecnica e progetto dell’impianto elettrico rilasciato da tecnico professionista abilitato, nonché progetto delle piste in pianta 1: 200; </w:t>
      </w:r>
    </w:p>
    <w:p>
      <w:pPr>
        <w:pStyle w:val="Normal"/>
        <w:widowControl w:val="false"/>
        <w:spacing w:lineRule="exact" w:line="11"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1"/>
          <w:numId w:val="2"/>
        </w:numPr>
        <w:tabs>
          <w:tab w:val="left" w:pos="1087" w:leader="none"/>
        </w:tabs>
        <w:overflowPunct w:val="true"/>
        <w:spacing w:lineRule="auto" w:line="240" w:before="0" w:after="0"/>
        <w:ind w:left="1087" w:right="40" w:hanging="355"/>
        <w:jc w:val="both"/>
        <w:rPr>
          <w:rFonts w:ascii="Times" w:hAnsi="Times" w:cs="Times"/>
          <w:sz w:val="24"/>
          <w:szCs w:val="24"/>
          <w:lang w:val="it-IT"/>
        </w:rPr>
      </w:pPr>
      <w:bookmarkStart w:id="1" w:name="page3"/>
      <w:bookmarkEnd w:id="1"/>
      <w:r>
        <w:rPr>
          <w:rFonts w:cs="Times" w:ascii="Times" w:hAnsi="Times"/>
          <w:sz w:val="24"/>
          <w:szCs w:val="24"/>
          <w:lang w:val="it-IT"/>
        </w:rPr>
        <w:t>dichiarazione di corretto montaggio e di conformità rilasciata da parte delle ditte installatrici relativamente a pedane, case in legno, impianto elettrico, luminarie, impianto illuminazione e gruppi frigoriferi</w:t>
      </w:r>
    </w:p>
    <w:p>
      <w:pPr>
        <w:pStyle w:val="Normal"/>
        <w:widowControl w:val="false"/>
        <w:numPr>
          <w:ilvl w:val="1"/>
          <w:numId w:val="2"/>
        </w:numPr>
        <w:tabs>
          <w:tab w:val="left" w:pos="1087" w:leader="none"/>
        </w:tabs>
        <w:overflowPunct w:val="true"/>
        <w:spacing w:lineRule="auto" w:line="240" w:before="0" w:after="0"/>
        <w:ind w:left="1087" w:right="40" w:hanging="355"/>
        <w:jc w:val="both"/>
        <w:rPr>
          <w:rFonts w:ascii="Times" w:hAnsi="Times" w:cs="Times"/>
          <w:sz w:val="24"/>
          <w:szCs w:val="24"/>
          <w:lang w:val="it-IT"/>
        </w:rPr>
      </w:pPr>
      <w:r>
        <w:rPr>
          <w:rFonts w:cs="Times" w:ascii="Times" w:hAnsi="Times"/>
          <w:sz w:val="24"/>
          <w:szCs w:val="24"/>
          <w:lang w:val="it-IT"/>
        </w:rPr>
        <w:t xml:space="preserve">documentazione relativa all’impianto acustico rilasciata da tecnico abilitato; </w:t>
      </w:r>
    </w:p>
    <w:p>
      <w:pPr>
        <w:pStyle w:val="Normal"/>
        <w:widowControl w:val="false"/>
        <w:spacing w:lineRule="exact" w:line="10"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0"/>
          <w:numId w:val="3"/>
        </w:numPr>
        <w:tabs>
          <w:tab w:val="left" w:pos="727" w:leader="none"/>
        </w:tabs>
        <w:overflowPunct w:val="true"/>
        <w:spacing w:lineRule="auto" w:line="235" w:before="0" w:after="0"/>
        <w:ind w:left="727" w:right="40" w:hanging="367"/>
        <w:jc w:val="both"/>
        <w:rPr>
          <w:rFonts w:ascii="Times" w:hAnsi="Times" w:cs="Times"/>
          <w:sz w:val="24"/>
          <w:szCs w:val="24"/>
          <w:lang w:val="it-IT"/>
        </w:rPr>
      </w:pPr>
      <w:r>
        <w:rPr>
          <w:rFonts w:cs="Times" w:ascii="Times" w:hAnsi="Times"/>
          <w:sz w:val="24"/>
          <w:szCs w:val="24"/>
          <w:lang w:val="it-IT"/>
        </w:rPr>
        <w:t xml:space="preserve">obbligo di possesso, da parte dell’aggiudicatario o di soggetto delegato, di idonea licenza per piste di pattinaggio su ghiaccio temporanee; </w:t>
      </w:r>
    </w:p>
    <w:p>
      <w:pPr>
        <w:pStyle w:val="Normal"/>
        <w:widowControl w:val="false"/>
        <w:spacing w:lineRule="exact" w:line="11" w:before="0" w:after="0"/>
        <w:rPr>
          <w:rFonts w:ascii="Times" w:hAnsi="Times" w:cs="Times"/>
          <w:sz w:val="24"/>
          <w:szCs w:val="24"/>
          <w:lang w:val="it-IT"/>
        </w:rPr>
      </w:pPr>
      <w:r>
        <w:rPr>
          <w:rFonts w:cs="Times" w:ascii="Times" w:hAnsi="Times"/>
          <w:sz w:val="24"/>
          <w:szCs w:val="24"/>
          <w:lang w:val="it-IT"/>
        </w:rPr>
      </w:r>
    </w:p>
    <w:p>
      <w:pPr>
        <w:pStyle w:val="Normal"/>
        <w:widowControl w:val="false"/>
        <w:numPr>
          <w:ilvl w:val="0"/>
          <w:numId w:val="3"/>
        </w:numPr>
        <w:tabs>
          <w:tab w:val="left" w:pos="727" w:leader="none"/>
        </w:tabs>
        <w:overflowPunct w:val="true"/>
        <w:spacing w:lineRule="auto" w:line="235" w:before="0" w:after="0"/>
        <w:ind w:left="727" w:right="40" w:hanging="367"/>
        <w:jc w:val="both"/>
        <w:rPr>
          <w:rFonts w:ascii="Times" w:hAnsi="Times" w:cs="Times"/>
          <w:sz w:val="24"/>
          <w:szCs w:val="24"/>
          <w:lang w:val="it-IT"/>
        </w:rPr>
      </w:pPr>
      <w:r>
        <w:rPr>
          <w:rFonts w:cs="Times" w:ascii="Times" w:hAnsi="Times"/>
          <w:sz w:val="24"/>
          <w:szCs w:val="24"/>
          <w:lang w:val="it-IT"/>
        </w:rPr>
        <w:t xml:space="preserve">messa a disposizione dei fruitori dell’impianto di almeno n.300 paia di pattini, in buono stato e assortiti nelle misure dal n.26 al n.48; i pattini dovranno essere mantenuti asciutti e puliti anche da tracce di ruggine sulle lame nonché trattati con idonei prodotti igienizzanti e fungicidi. </w:t>
      </w:r>
    </w:p>
    <w:p>
      <w:pPr>
        <w:pStyle w:val="Normal"/>
        <w:numPr>
          <w:ilvl w:val="0"/>
          <w:numId w:val="3"/>
        </w:numPr>
        <w:spacing w:lineRule="auto" w:line="240" w:before="0" w:after="0"/>
        <w:jc w:val="both"/>
        <w:rPr/>
      </w:pPr>
      <w:r>
        <w:rPr>
          <w:rFonts w:eastAsia="ArialNarrow" w:ascii="Times New Roman" w:hAnsi="Times New Roman"/>
          <w:sz w:val="24"/>
          <w:szCs w:val="24"/>
          <w:lang w:val="it-IT"/>
        </w:rPr>
        <w:t xml:space="preserve">il Concessionario, gestore dell’iniziativa, risponde per danni a terzi, persone e cose, che si verificassero all’interno dell’impianto ed </w:t>
      </w:r>
      <w:r>
        <w:rPr>
          <w:rFonts w:eastAsia="ArialNarrow" w:ascii="Times New Roman" w:hAnsi="Times New Roman"/>
          <w:sz w:val="24"/>
          <w:szCs w:val="24"/>
          <w:lang w:val="it-IT"/>
        </w:rPr>
        <w:t>è</w:t>
      </w:r>
      <w:r>
        <w:rPr>
          <w:rFonts w:eastAsia="ArialNarrow" w:ascii="Times New Roman" w:hAnsi="Times New Roman"/>
          <w:sz w:val="24"/>
          <w:szCs w:val="24"/>
          <w:lang w:val="it-IT"/>
        </w:rPr>
        <w:t xml:space="preserve"> obbligato presentare polizza assicurativa per la copertura di rischi derivanti dell’attività a favore di terzi con l’indicazione di massimali ritenuti idonei agli eventuali danni (RCT non inferiore a € 2.000.000,00, RCO non inferiore a €1.000.000,00);</w:t>
      </w:r>
    </w:p>
    <w:p>
      <w:pPr>
        <w:pStyle w:val="Normal"/>
        <w:widowControl w:val="false"/>
        <w:overflowPunct w:val="true"/>
        <w:spacing w:lineRule="auto" w:line="235" w:before="0" w:after="0"/>
        <w:ind w:left="727" w:right="40" w:hanging="0"/>
        <w:jc w:val="both"/>
        <w:rPr>
          <w:rFonts w:ascii="Times" w:hAnsi="Times" w:cs="Times"/>
          <w:sz w:val="24"/>
          <w:szCs w:val="24"/>
          <w:lang w:val="it-IT"/>
        </w:rPr>
      </w:pPr>
      <w:r>
        <w:rPr>
          <w:rFonts w:cs="Times" w:ascii="Times" w:hAnsi="Times"/>
          <w:sz w:val="24"/>
          <w:szCs w:val="24"/>
          <w:lang w:val="it-IT"/>
        </w:rPr>
      </w:r>
    </w:p>
    <w:p>
      <w:pPr>
        <w:pStyle w:val="Normal"/>
        <w:widowControl w:val="false"/>
        <w:spacing w:lineRule="exact" w:line="290"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5" w:before="0" w:after="0"/>
        <w:ind w:left="7" w:right="60" w:hanging="0"/>
        <w:jc w:val="both"/>
        <w:rPr>
          <w:rFonts w:ascii="Times New Roman" w:hAnsi="Times New Roman"/>
          <w:sz w:val="24"/>
          <w:szCs w:val="24"/>
          <w:lang w:val="it-IT"/>
        </w:rPr>
      </w:pPr>
      <w:r>
        <w:rPr>
          <w:rFonts w:cs="Times" w:ascii="Times" w:hAnsi="Times"/>
          <w:sz w:val="24"/>
          <w:szCs w:val="24"/>
          <w:lang w:val="it-IT"/>
        </w:rPr>
        <w:t>La manifestazione d’interesse, completa dei dati di cui sopra, dovrà accludere anche il progetto di realizzazione della pista, che verrà realizzata sull’area messa a disposizione dal Comune.</w:t>
      </w:r>
    </w:p>
    <w:p>
      <w:pPr>
        <w:pStyle w:val="Normal"/>
        <w:widowControl w:val="false"/>
        <w:spacing w:lineRule="exact" w:line="286"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5" w:before="0" w:after="0"/>
        <w:ind w:left="7" w:right="80" w:hanging="0"/>
        <w:jc w:val="both"/>
        <w:rPr>
          <w:rFonts w:ascii="Times" w:hAnsi="Times" w:cs="Times"/>
          <w:sz w:val="24"/>
          <w:szCs w:val="24"/>
          <w:lang w:val="it-IT"/>
        </w:rPr>
      </w:pPr>
      <w:r>
        <w:rPr>
          <w:rFonts w:cs="Times" w:ascii="Times" w:hAnsi="Times"/>
          <w:sz w:val="24"/>
          <w:szCs w:val="24"/>
          <w:lang w:val="it-IT"/>
        </w:rPr>
        <w:t>I criteri per l’assegnazione, saranno in base al criterio dell’offerta economicamente più vantaggiosa, sulla base del totale dei punti attribuiti ai seguenti elementi ai quali è riservato un punteggio massimo complessivo di 100 punti suddivisi secondo i seguenti criteri:</w:t>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A elementi qualitativi – offerta tecnica</w:t>
        <w:tab/>
        <w:tab/>
        <w:t>punteggio massimo   95</w:t>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B elemento economico – offerta economica</w:t>
        <w:tab/>
        <w:tab/>
        <w:t>punteggio</w:t>
        <w:tab/>
        <w:tab/>
        <w:t>5</w:t>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Per quanto riguarda gli elementi qualitativi, i relativi punteggi saranno attribuiti come segue:</w:t>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tbl>
      <w:tblPr>
        <w:tblW w:w="9747"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061"/>
        <w:gridCol w:w="3685"/>
      </w:tblGrid>
      <w:tr>
        <w:trPr/>
        <w:tc>
          <w:tcPr>
            <w:tcW w:w="60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A qualità dell’offerta tecnica</w:t>
            </w:r>
          </w:p>
        </w:tc>
        <w:tc>
          <w:tcPr>
            <w:tcW w:w="3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punteggio massimo 95 di cui</w:t>
            </w:r>
          </w:p>
        </w:tc>
      </w:tr>
      <w:tr>
        <w:trPr/>
        <w:tc>
          <w:tcPr>
            <w:tcW w:w="60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tc>
        <w:tc>
          <w:tcPr>
            <w:tcW w:w="3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tc>
      </w:tr>
      <w:tr>
        <w:trPr/>
        <w:tc>
          <w:tcPr>
            <w:tcW w:w="60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numPr>
                <w:ilvl w:val="0"/>
                <w:numId w:val="7"/>
              </w:numPr>
              <w:spacing w:lineRule="exact" w:line="276" w:before="0" w:after="0"/>
              <w:ind w:left="284" w:hanging="284"/>
              <w:rPr>
                <w:rFonts w:ascii="Times New Roman" w:hAnsi="Times New Roman"/>
                <w:sz w:val="24"/>
                <w:szCs w:val="24"/>
                <w:lang w:val="it-IT"/>
              </w:rPr>
            </w:pPr>
            <w:r>
              <w:rPr>
                <w:rFonts w:ascii="Times New Roman" w:hAnsi="Times New Roman"/>
                <w:sz w:val="24"/>
                <w:szCs w:val="24"/>
                <w:lang w:val="it-IT"/>
              </w:rPr>
              <w:t>struttura : dimensione minima di mq. 200, dotata di parapetti di sicurezza, di scala di accesso, altezza massima 80 cm dal suolo</w:t>
            </w:r>
          </w:p>
        </w:tc>
        <w:tc>
          <w:tcPr>
            <w:tcW w:w="3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punti 15 per ogni 10 mq oltre i 200 fino a punti 40 max</w:t>
            </w:r>
          </w:p>
        </w:tc>
      </w:tr>
      <w:tr>
        <w:trPr/>
        <w:tc>
          <w:tcPr>
            <w:tcW w:w="60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numPr>
                <w:ilvl w:val="0"/>
                <w:numId w:val="7"/>
              </w:numPr>
              <w:spacing w:lineRule="exact" w:line="276" w:before="0" w:after="0"/>
              <w:ind w:left="284" w:hanging="284"/>
              <w:rPr>
                <w:rFonts w:ascii="Times New Roman" w:hAnsi="Times New Roman"/>
                <w:sz w:val="24"/>
                <w:szCs w:val="24"/>
                <w:lang w:val="it-IT"/>
              </w:rPr>
            </w:pPr>
            <w:r>
              <w:rPr>
                <w:rFonts w:ascii="Times New Roman" w:hAnsi="Times New Roman"/>
                <w:sz w:val="24"/>
                <w:szCs w:val="24"/>
                <w:lang w:val="it-IT"/>
              </w:rPr>
              <w:t>scenografia</w:t>
            </w:r>
          </w:p>
        </w:tc>
        <w:tc>
          <w:tcPr>
            <w:tcW w:w="3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punti 30 max</w:t>
            </w:r>
          </w:p>
        </w:tc>
      </w:tr>
      <w:tr>
        <w:trPr/>
        <w:tc>
          <w:tcPr>
            <w:tcW w:w="60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numPr>
                <w:ilvl w:val="0"/>
                <w:numId w:val="7"/>
              </w:numPr>
              <w:spacing w:lineRule="exact" w:line="276" w:before="0" w:after="0"/>
              <w:ind w:left="284" w:hanging="284"/>
              <w:rPr>
                <w:rFonts w:ascii="Times New Roman" w:hAnsi="Times New Roman"/>
                <w:sz w:val="24"/>
                <w:szCs w:val="24"/>
                <w:lang w:val="it-IT"/>
              </w:rPr>
            </w:pPr>
            <w:r>
              <w:rPr>
                <w:rFonts w:ascii="Times New Roman" w:hAnsi="Times New Roman"/>
                <w:sz w:val="24"/>
                <w:szCs w:val="24"/>
                <w:lang w:val="it-IT"/>
              </w:rPr>
              <w:t>descrizione dei servizi e attività proposti a favore delle fasce di popolazione giovanile e degli studenti delle scuole dell’obbligo (minori da 10 a 17 anni), con la descrizione delle condizioni di accesso/fruizione del pubblico (giorni, orari, ecc.) e delle modalità e forme di corrispettivo previste dei fruitori</w:t>
              <w:tab/>
              <w:tab/>
              <w:tab/>
            </w:r>
          </w:p>
        </w:tc>
        <w:tc>
          <w:tcPr>
            <w:tcW w:w="3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punti</w:t>
              <w:tab/>
              <w:t>20 max</w:t>
            </w:r>
          </w:p>
        </w:tc>
      </w:tr>
      <w:tr>
        <w:trPr/>
        <w:tc>
          <w:tcPr>
            <w:tcW w:w="60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numPr>
                <w:ilvl w:val="0"/>
                <w:numId w:val="7"/>
              </w:numPr>
              <w:spacing w:lineRule="exact" w:line="276" w:before="0" w:after="0"/>
              <w:ind w:left="284" w:hanging="284"/>
              <w:rPr>
                <w:rFonts w:ascii="Times New Roman" w:hAnsi="Times New Roman"/>
                <w:sz w:val="24"/>
                <w:szCs w:val="24"/>
                <w:lang w:val="it-IT"/>
              </w:rPr>
            </w:pPr>
            <w:r>
              <w:rPr>
                <w:rFonts w:ascii="Times New Roman" w:hAnsi="Times New Roman"/>
                <w:sz w:val="24"/>
                <w:szCs w:val="24"/>
                <w:lang w:val="it-IT"/>
              </w:rPr>
              <w:t>descrizione degli eventi che si intendono organizzare e che possono confluire nel programma di iniziative natalizie dell’Amministrazione Comunale</w:t>
            </w:r>
          </w:p>
        </w:tc>
        <w:tc>
          <w:tcPr>
            <w:tcW w:w="3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numPr>
                <w:ilvl w:val="0"/>
                <w:numId w:val="6"/>
              </w:numPr>
              <w:spacing w:lineRule="exact" w:line="276" w:before="0" w:after="0"/>
              <w:rPr>
                <w:rFonts w:ascii="Times New Roman" w:hAnsi="Times New Roman"/>
                <w:sz w:val="24"/>
                <w:szCs w:val="24"/>
                <w:lang w:val="it-IT"/>
              </w:rPr>
            </w:pPr>
            <w:r>
              <w:rPr>
                <w:rFonts w:ascii="Times New Roman" w:hAnsi="Times New Roman"/>
                <w:sz w:val="24"/>
                <w:szCs w:val="24"/>
                <w:lang w:val="it-IT"/>
              </w:rPr>
              <w:t xml:space="preserve">punti </w:t>
              <w:tab/>
              <w:t>5 max</w:t>
            </w:r>
          </w:p>
          <w:p>
            <w:pPr>
              <w:pStyle w:val="Normal"/>
              <w:widowControl w:val="false"/>
              <w:spacing w:lineRule="exact" w:line="276" w:before="0" w:after="0"/>
              <w:ind w:left="360" w:hanging="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tc>
      </w:tr>
    </w:tbl>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tbl>
      <w:tblPr>
        <w:tblW w:w="9747"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061"/>
        <w:gridCol w:w="3685"/>
      </w:tblGrid>
      <w:tr>
        <w:trPr/>
        <w:tc>
          <w:tcPr>
            <w:tcW w:w="60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B elemento economico disponibilità del concorrente ad erogare a favore del Comune di Corsico uno o più servizi, attinenti al tema ricreativo natalizio, fino alla concorrenza dell’importo di € 500,00</w:t>
            </w:r>
          </w:p>
        </w:tc>
        <w:tc>
          <w:tcPr>
            <w:tcW w:w="36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t>punti 5</w:t>
            </w:r>
          </w:p>
        </w:tc>
      </w:tr>
    </w:tbl>
    <w:p>
      <w:pPr>
        <w:pStyle w:val="Normal"/>
        <w:widowControl w:val="false"/>
        <w:spacing w:lineRule="exact" w:line="276" w:before="0" w:after="0"/>
        <w:ind w:left="360" w:hanging="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76" w:before="0" w:after="0"/>
        <w:jc w:val="both"/>
        <w:rPr>
          <w:rFonts w:ascii="Times New Roman" w:hAnsi="Times New Roman"/>
          <w:sz w:val="24"/>
          <w:szCs w:val="24"/>
          <w:lang w:val="it-IT"/>
        </w:rPr>
      </w:pPr>
      <w:r>
        <w:rPr>
          <w:rFonts w:ascii="Times New Roman" w:hAnsi="Times New Roman"/>
          <w:sz w:val="24"/>
          <w:szCs w:val="24"/>
          <w:lang w:val="it-IT"/>
        </w:rPr>
        <w:t>L’offerta tecnica che non raggiungerà la soglia minima di punti 50 sarà esclusa dalla gara perché ritenuta tecnicamente insufficiente.</w:t>
      </w:r>
    </w:p>
    <w:p>
      <w:pPr>
        <w:pStyle w:val="Normal"/>
        <w:widowControl w:val="false"/>
        <w:spacing w:lineRule="exact" w:line="276" w:before="0" w:after="0"/>
        <w:jc w:val="both"/>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76" w:before="0" w:after="0"/>
        <w:jc w:val="both"/>
        <w:rPr>
          <w:rFonts w:ascii="Times New Roman" w:hAnsi="Times New Roman"/>
          <w:sz w:val="24"/>
          <w:szCs w:val="24"/>
          <w:lang w:val="it-IT"/>
        </w:rPr>
      </w:pPr>
      <w:r>
        <w:rPr>
          <w:rFonts w:ascii="Times New Roman" w:hAnsi="Times New Roman"/>
          <w:sz w:val="24"/>
          <w:szCs w:val="24"/>
          <w:lang w:val="it-IT"/>
        </w:rPr>
        <w:t>L’aggiudicazione avverrà a favore del concorrente che avrà ottenuto il punteggio complessivo maggiore, dato dalla somma dei punteggi attribuiti ai singoli elementi dell’offerta. In caso di parità di punteggio, sarà preferita l’offerta che ha riportato il maggior punteggio nell’elemento qualitativo/offerta tecnica.</w:t>
      </w:r>
    </w:p>
    <w:p>
      <w:pPr>
        <w:pStyle w:val="Normal"/>
        <w:widowControl w:val="false"/>
        <w:spacing w:lineRule="exact" w:line="276" w:before="0" w:after="0"/>
        <w:jc w:val="both"/>
        <w:rPr>
          <w:rFonts w:ascii="Times New Roman" w:hAnsi="Times New Roman"/>
          <w:sz w:val="24"/>
          <w:szCs w:val="24"/>
          <w:lang w:val="it-IT"/>
        </w:rPr>
      </w:pPr>
      <w:r>
        <w:rPr>
          <w:rFonts w:ascii="Times New Roman" w:hAnsi="Times New Roman"/>
          <w:sz w:val="24"/>
          <w:szCs w:val="24"/>
          <w:lang w:val="it-IT"/>
        </w:rPr>
        <w:t>Il Comune si riserva la facoltà di verificare e valutare la congruità dell’offerta che, in base ad elementi specifici, appaia non congrua.</w:t>
      </w:r>
    </w:p>
    <w:p>
      <w:pPr>
        <w:pStyle w:val="Normal"/>
        <w:widowControl w:val="false"/>
        <w:spacing w:lineRule="exact" w:line="276" w:before="0" w:after="0"/>
        <w:jc w:val="both"/>
        <w:rPr>
          <w:rFonts w:ascii="Times New Roman" w:hAnsi="Times New Roman"/>
          <w:sz w:val="24"/>
          <w:szCs w:val="24"/>
          <w:lang w:val="it-IT"/>
        </w:rPr>
      </w:pPr>
      <w:r>
        <w:rPr>
          <w:rFonts w:ascii="Times New Roman" w:hAnsi="Times New Roman"/>
          <w:sz w:val="24"/>
          <w:szCs w:val="24"/>
          <w:lang w:val="it-IT"/>
        </w:rPr>
        <w:t>Il Comune si riserva il diritto di aggiudicare la concessione anche in presenza di una sola offerta valida.</w:t>
      </w:r>
    </w:p>
    <w:p>
      <w:pPr>
        <w:pStyle w:val="Normal"/>
        <w:widowControl w:val="false"/>
        <w:spacing w:lineRule="exact" w:line="276" w:before="0" w:after="0"/>
        <w:jc w:val="both"/>
        <w:rPr>
          <w:rFonts w:ascii="Times New Roman" w:hAnsi="Times New Roman"/>
          <w:sz w:val="24"/>
          <w:szCs w:val="24"/>
          <w:lang w:val="it-IT"/>
        </w:rPr>
      </w:pPr>
      <w:r>
        <w:rPr>
          <w:rFonts w:ascii="Times New Roman" w:hAnsi="Times New Roman"/>
          <w:sz w:val="24"/>
          <w:szCs w:val="24"/>
          <w:lang w:val="it-IT"/>
        </w:rPr>
        <w:t>Nessun rimborso è dovuto per la partecipazione alla gara, anche nel caso in cui il Comune non intendesse, per giustificati motivi, procedere ad alcuna aggiudicazione, né saranno restituiti gli elaborati presentati.</w:t>
      </w:r>
    </w:p>
    <w:p>
      <w:pPr>
        <w:pStyle w:val="Normal"/>
        <w:widowControl w:val="false"/>
        <w:spacing w:lineRule="exact" w:line="276" w:before="0" w:after="0"/>
        <w:jc w:val="both"/>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auto" w:line="240" w:before="0" w:after="0"/>
        <w:ind w:left="7" w:hanging="0"/>
        <w:rPr>
          <w:rFonts w:ascii="Times New Roman" w:hAnsi="Times New Roman"/>
          <w:sz w:val="24"/>
          <w:szCs w:val="24"/>
          <w:lang w:val="it-IT"/>
        </w:rPr>
      </w:pPr>
      <w:r>
        <w:rPr>
          <w:rFonts w:cs="Times" w:ascii="Times" w:hAnsi="Times"/>
          <w:sz w:val="24"/>
          <w:szCs w:val="24"/>
          <w:lang w:val="it-IT"/>
        </w:rPr>
        <w:t>Il presente avviso di acquisizione di manifestazione di interesse è pubblicato:</w:t>
      </w:r>
    </w:p>
    <w:p>
      <w:pPr>
        <w:pStyle w:val="Normal"/>
        <w:widowControl w:val="false"/>
        <w:numPr>
          <w:ilvl w:val="0"/>
          <w:numId w:val="4"/>
        </w:numPr>
        <w:tabs>
          <w:tab w:val="left" w:pos="367" w:leader="none"/>
        </w:tabs>
        <w:overflowPunct w:val="true"/>
        <w:spacing w:lineRule="auto" w:line="240" w:before="0" w:after="0"/>
        <w:ind w:left="367" w:hanging="367"/>
        <w:jc w:val="both"/>
        <w:rPr>
          <w:rFonts w:ascii="Times" w:hAnsi="Times" w:cs="Times"/>
          <w:sz w:val="24"/>
          <w:szCs w:val="24"/>
          <w:lang w:val="it-IT"/>
        </w:rPr>
      </w:pPr>
      <w:r>
        <w:rPr>
          <w:rFonts w:cs="Times" w:ascii="Times" w:hAnsi="Times"/>
          <w:sz w:val="24"/>
          <w:szCs w:val="24"/>
          <w:lang w:val="it-IT"/>
        </w:rPr>
        <w:t xml:space="preserve">sul sito istituzionale del Comune di Corsico: </w:t>
      </w:r>
      <w:r>
        <w:rPr>
          <w:rFonts w:cs="Times" w:ascii="Times" w:hAnsi="Times"/>
          <w:color w:val="0000FF"/>
          <w:sz w:val="24"/>
          <w:szCs w:val="24"/>
          <w:u w:val="single"/>
          <w:lang w:val="it-IT"/>
        </w:rPr>
        <w:t>http://www.comune.corsico .mi.it</w:t>
      </w:r>
      <w:r>
        <w:rPr>
          <w:rFonts w:cs="Times" w:ascii="Times" w:hAnsi="Times"/>
          <w:sz w:val="24"/>
          <w:szCs w:val="24"/>
          <w:lang w:val="it-IT"/>
        </w:rPr>
        <w:t xml:space="preserve"> </w:t>
      </w:r>
    </w:p>
    <w:p>
      <w:pPr>
        <w:pStyle w:val="Normal"/>
        <w:widowControl w:val="false"/>
        <w:numPr>
          <w:ilvl w:val="0"/>
          <w:numId w:val="4"/>
        </w:numPr>
        <w:tabs>
          <w:tab w:val="left" w:pos="367" w:leader="none"/>
        </w:tabs>
        <w:overflowPunct w:val="true"/>
        <w:spacing w:lineRule="exact" w:line="286" w:before="0" w:after="0"/>
        <w:ind w:left="367" w:hanging="367"/>
        <w:jc w:val="both"/>
        <w:rPr>
          <w:rFonts w:ascii="Times New Roman" w:hAnsi="Times New Roman"/>
          <w:sz w:val="24"/>
          <w:szCs w:val="24"/>
          <w:lang w:val="it-IT"/>
        </w:rPr>
      </w:pPr>
      <w:r>
        <w:rPr>
          <w:rFonts w:cs="Times" w:ascii="Times" w:hAnsi="Times"/>
          <w:sz w:val="24"/>
          <w:szCs w:val="24"/>
          <w:lang w:val="it-IT"/>
        </w:rPr>
        <w:t>all’Albo Pretorio del Comune di Corsico</w:t>
      </w:r>
    </w:p>
    <w:p>
      <w:pPr>
        <w:pStyle w:val="Normal"/>
        <w:widowControl w:val="false"/>
        <w:numPr>
          <w:ilvl w:val="0"/>
          <w:numId w:val="0"/>
        </w:numPr>
        <w:tabs>
          <w:tab w:val="left" w:pos="367" w:leader="none"/>
        </w:tabs>
        <w:overflowPunct w:val="true"/>
        <w:spacing w:lineRule="exact" w:line="286" w:before="0" w:after="0"/>
        <w:ind w:left="367" w:hanging="367"/>
        <w:jc w:val="both"/>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7" w:before="0" w:after="0"/>
        <w:ind w:left="7" w:right="40" w:hanging="0"/>
        <w:jc w:val="both"/>
        <w:rPr/>
      </w:pPr>
      <w:r>
        <w:rPr>
          <w:rFonts w:cs="Times" w:ascii="Times" w:hAnsi="Times"/>
          <w:sz w:val="24"/>
          <w:szCs w:val="24"/>
          <w:lang w:val="it-IT"/>
        </w:rPr>
        <w:t>La trasmissione della manifestazione d’interesse dovrà avvenire a mano o tramite raccomandata A/R, in busta chiusa, sulla quale va specificato, a pena di inammissibilità, il nominativo del mittente e la dicitura “ bando per l’assegnazione</w:t>
      </w:r>
      <w:r>
        <w:rPr>
          <w:rFonts w:cs="Times" w:ascii="Times" w:hAnsi="Times"/>
          <w:b/>
          <w:bCs/>
          <w:sz w:val="24"/>
          <w:szCs w:val="24"/>
          <w:lang w:val="it-IT"/>
        </w:rPr>
        <w:t xml:space="preserve"> d’interesse per installazione e gestione di pista di pattinaggio su ghiaccio per la stagione 201</w:t>
      </w:r>
      <w:r>
        <w:rPr>
          <w:rFonts w:cs="Times" w:ascii="Times" w:hAnsi="Times"/>
          <w:b/>
          <w:bCs/>
          <w:sz w:val="24"/>
          <w:szCs w:val="24"/>
          <w:lang w:val="it-IT"/>
        </w:rPr>
        <w:t>8</w:t>
      </w:r>
      <w:r>
        <w:rPr>
          <w:rFonts w:cs="Times" w:ascii="Times" w:hAnsi="Times"/>
          <w:b/>
          <w:bCs/>
          <w:sz w:val="24"/>
          <w:szCs w:val="24"/>
          <w:lang w:val="it-IT"/>
        </w:rPr>
        <w:t>-201</w:t>
      </w:r>
      <w:r>
        <w:rPr>
          <w:rFonts w:cs="Times" w:ascii="Times" w:hAnsi="Times"/>
          <w:b/>
          <w:bCs/>
          <w:sz w:val="24"/>
          <w:szCs w:val="24"/>
          <w:lang w:val="it-IT"/>
        </w:rPr>
        <w:t>9</w:t>
      </w:r>
      <w:r>
        <w:rPr>
          <w:rFonts w:cs="Times" w:ascii="Times" w:hAnsi="Times"/>
          <w:b/>
          <w:bCs/>
          <w:sz w:val="24"/>
          <w:szCs w:val="24"/>
          <w:lang w:val="it-IT"/>
        </w:rPr>
        <w:t xml:space="preserve"> entro il termine perentorio delle ore 12,00 del giorno </w:t>
      </w:r>
      <w:r>
        <w:rPr>
          <w:rFonts w:cs="Times" w:ascii="Times" w:hAnsi="Times"/>
          <w:b/>
          <w:bCs/>
          <w:sz w:val="24"/>
          <w:szCs w:val="24"/>
          <w:lang w:val="it-IT"/>
        </w:rPr>
        <w:t>20 novembre</w:t>
      </w:r>
      <w:r>
        <w:rPr>
          <w:rFonts w:cs="Times" w:ascii="Times" w:hAnsi="Times"/>
          <w:b/>
          <w:bCs/>
          <w:sz w:val="24"/>
          <w:szCs w:val="24"/>
          <w:lang w:val="it-IT"/>
        </w:rPr>
        <w:t xml:space="preserve"> 201</w:t>
      </w:r>
      <w:r>
        <w:rPr>
          <w:rFonts w:cs="Times" w:ascii="Times" w:hAnsi="Times"/>
          <w:b/>
          <w:bCs/>
          <w:sz w:val="24"/>
          <w:szCs w:val="24"/>
          <w:lang w:val="it-IT"/>
        </w:rPr>
        <w:t>8</w:t>
      </w:r>
      <w:r>
        <w:rPr>
          <w:rFonts w:cs="Times" w:ascii="Times" w:hAnsi="Times"/>
          <w:b/>
          <w:bCs/>
          <w:sz w:val="24"/>
          <w:szCs w:val="24"/>
          <w:lang w:val="it-IT"/>
        </w:rPr>
        <w:t xml:space="preserve"> presso la sede comunale in via Roma 18 – ufficio protocollo.</w:t>
      </w:r>
    </w:p>
    <w:p>
      <w:pPr>
        <w:pStyle w:val="Normal"/>
        <w:widowControl w:val="false"/>
        <w:spacing w:lineRule="exact" w:line="285"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5" w:before="0" w:after="0"/>
        <w:ind w:left="7" w:hanging="0"/>
        <w:jc w:val="both"/>
        <w:rPr>
          <w:rFonts w:ascii="Times New Roman" w:hAnsi="Times New Roman"/>
          <w:sz w:val="24"/>
          <w:szCs w:val="24"/>
          <w:lang w:val="it-IT"/>
        </w:rPr>
      </w:pPr>
      <w:r>
        <w:rPr>
          <w:rFonts w:cs="Times" w:ascii="Times" w:hAnsi="Times"/>
          <w:sz w:val="24"/>
          <w:szCs w:val="24"/>
          <w:lang w:val="it-IT"/>
        </w:rPr>
        <w:t>La manifestazione di interesse non vincola l’Amministrazione Comunale, che si riserva ogni più ampia verifica, ivi compresa la richiesta di documentazione integrativa, nonché l’espletamento, anche in presenza di un unico soggetto, se non ritenuto idoneo, di ulteriore procedura di gara.</w:t>
      </w:r>
    </w:p>
    <w:p>
      <w:pPr>
        <w:pStyle w:val="Normal"/>
        <w:widowControl w:val="false"/>
        <w:spacing w:lineRule="exact" w:line="286"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overflowPunct w:val="true"/>
        <w:spacing w:lineRule="auto" w:line="235" w:before="0" w:after="0"/>
        <w:ind w:left="7" w:hanging="0"/>
        <w:jc w:val="both"/>
        <w:rPr>
          <w:rFonts w:ascii="Times New Roman" w:hAnsi="Times New Roman"/>
          <w:sz w:val="24"/>
          <w:szCs w:val="24"/>
          <w:lang w:val="it-IT"/>
        </w:rPr>
      </w:pPr>
      <w:r>
        <w:rPr>
          <w:rFonts w:cs="Times" w:ascii="Times" w:hAnsi="Times"/>
          <w:sz w:val="24"/>
          <w:szCs w:val="24"/>
          <w:lang w:val="it-IT"/>
        </w:rPr>
        <w:t>Resta, comunque, stabilito che la manifestazione di interesse non produce alcun diritto del soggetto interessato all’espletamento della futura procedura di gara da parte del Comune, né all’affidamento a beneficio del partecipante né essere invitato a partecipare alla procedura di gara.</w:t>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76"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auto" w:line="240" w:before="0" w:after="0"/>
        <w:ind w:left="7" w:hanging="0"/>
        <w:rPr>
          <w:rFonts w:ascii="Times New Roman" w:hAnsi="Times New Roman"/>
          <w:sz w:val="24"/>
          <w:szCs w:val="24"/>
          <w:lang w:val="it-IT"/>
        </w:rPr>
      </w:pPr>
      <w:r>
        <w:rPr>
          <w:rFonts w:cs="Times" w:ascii="Times" w:hAnsi="Times"/>
          <w:sz w:val="24"/>
          <w:szCs w:val="24"/>
          <w:lang w:val="it-IT"/>
        </w:rPr>
        <w:t>Responsabile del Procedimento è Sig.ra GISMONDI Pierina</w:t>
      </w:r>
    </w:p>
    <w:p>
      <w:pPr>
        <w:pStyle w:val="Normal"/>
        <w:widowControl w:val="false"/>
        <w:spacing w:lineRule="exact" w:line="200"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33" w:before="0" w:after="0"/>
        <w:rPr>
          <w:rFonts w:ascii="Times New Roman" w:hAnsi="Times New Roman"/>
          <w:sz w:val="24"/>
          <w:szCs w:val="24"/>
          <w:lang w:val="it-IT"/>
        </w:rPr>
      </w:pPr>
      <w:r>
        <w:rPr>
          <w:rFonts w:ascii="Times New Roman" w:hAnsi="Times New Roman"/>
          <w:sz w:val="24"/>
          <w:szCs w:val="24"/>
          <w:lang w:val="it-IT"/>
        </w:rPr>
      </w:r>
    </w:p>
    <w:p>
      <w:pPr>
        <w:pStyle w:val="Normal"/>
        <w:widowControl w:val="false"/>
        <w:spacing w:lineRule="exact" w:line="233" w:before="0" w:after="0"/>
        <w:rPr/>
      </w:pPr>
      <w:r>
        <w:rPr>
          <w:rFonts w:ascii="Times New Roman" w:hAnsi="Times New Roman"/>
          <w:sz w:val="24"/>
          <w:szCs w:val="24"/>
          <w:lang w:val="it-IT"/>
        </w:rPr>
        <w:t xml:space="preserve">Corsico, li </w:t>
      </w:r>
      <w:r>
        <w:rPr>
          <w:rFonts w:ascii="Times New Roman" w:hAnsi="Times New Roman"/>
          <w:sz w:val="24"/>
          <w:szCs w:val="24"/>
          <w:lang w:val="it-IT"/>
        </w:rPr>
        <w:t>09 ottobre 2018</w:t>
      </w:r>
    </w:p>
    <w:sectPr>
      <w:type w:val="nextPage"/>
      <w:pgSz w:w="11906" w:h="16838"/>
      <w:pgMar w:left="1133" w:right="1080" w:header="0" w:top="1408" w:footer="0" w:bottom="14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imes">
    <w:altName w:val="Times New Roman"/>
    <w:charset w:val="00"/>
    <w:family w:val="roman"/>
    <w:pitch w:val="variable"/>
  </w:font>
  <w:font w:name="OpenSymbol">
    <w:altName w:val="Arial Unicode MS"/>
    <w:charset w:val="01"/>
    <w:family w:val="auto"/>
    <w:pitch w:val="default"/>
  </w:font>
  <w:font w:name="Times">
    <w:altName w:val="Times New Roman"/>
    <w:charset w:val="01"/>
    <w:family w:val="roman"/>
    <w:pitch w:val="default"/>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OpenSymbol" w:hAnsi="OpenSymbol" w:cs="OpenSymbol"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lvl w:ilvl="0">
      <w:start w:val="1"/>
      <w:numFmt w:val="lowerLetter"/>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
    <w:lvl w:ilvl="0">
      <w:start w:val="8"/>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
    <w:lvl w:ilvl="0">
      <w:start w:val="1"/>
      <w:numFmt w:val="bullet"/>
      <w:lvlText w:val="-"/>
      <w:lvlJc w:val="left"/>
      <w:pPr>
        <w:tabs>
          <w:tab w:val="num" w:pos="720"/>
        </w:tabs>
        <w:ind w:left="720" w:hanging="360"/>
      </w:pPr>
      <w:rPr>
        <w:rFonts w:ascii="OpenSymbol" w:hAnsi="OpenSymbol" w:cs="Open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lvl w:ilvl="0">
      <w:start w:val="1"/>
      <w:numFmt w:val="bullet"/>
      <w:lvlText w:val="-"/>
      <w:lvlJc w:val="left"/>
      <w:pPr>
        <w:ind w:left="367" w:hanging="360"/>
      </w:pPr>
      <w:rPr>
        <w:rFonts w:ascii="Times" w:hAnsi="Times" w:cs="Times" w:hint="default"/>
        <w:sz w:val="24"/>
        <w:rFonts w:cs="Times"/>
      </w:rPr>
    </w:lvl>
    <w:lvl w:ilvl="1">
      <w:start w:val="1"/>
      <w:numFmt w:val="bullet"/>
      <w:lvlText w:val="o"/>
      <w:lvlJc w:val="left"/>
      <w:pPr>
        <w:ind w:left="1087" w:hanging="360"/>
      </w:pPr>
      <w:rPr>
        <w:rFonts w:ascii="Courier New" w:hAnsi="Courier New" w:cs="Courier New" w:hint="default"/>
        <w:rFonts w:cs="Courier New"/>
      </w:rPr>
    </w:lvl>
    <w:lvl w:ilvl="2">
      <w:start w:val="1"/>
      <w:numFmt w:val="bullet"/>
      <w:lvlText w:val=""/>
      <w:lvlJc w:val="left"/>
      <w:pPr>
        <w:ind w:left="1807" w:hanging="360"/>
      </w:pPr>
      <w:rPr>
        <w:rFonts w:ascii="Wingdings" w:hAnsi="Wingdings" w:cs="Wingdings" w:hint="default"/>
      </w:rPr>
    </w:lvl>
    <w:lvl w:ilvl="3">
      <w:start w:val="1"/>
      <w:numFmt w:val="bullet"/>
      <w:lvlText w:val=""/>
      <w:lvlJc w:val="left"/>
      <w:pPr>
        <w:ind w:left="2527" w:hanging="360"/>
      </w:pPr>
      <w:rPr>
        <w:rFonts w:ascii="Symbol" w:hAnsi="Symbol" w:cs="Symbol" w:hint="default"/>
      </w:rPr>
    </w:lvl>
    <w:lvl w:ilvl="4">
      <w:start w:val="1"/>
      <w:numFmt w:val="bullet"/>
      <w:lvlText w:val="o"/>
      <w:lvlJc w:val="left"/>
      <w:pPr>
        <w:ind w:left="3247" w:hanging="360"/>
      </w:pPr>
      <w:rPr>
        <w:rFonts w:ascii="Courier New" w:hAnsi="Courier New" w:cs="Courier New" w:hint="default"/>
        <w:rFonts w:cs="Courier New"/>
      </w:rPr>
    </w:lvl>
    <w:lvl w:ilvl="5">
      <w:start w:val="1"/>
      <w:numFmt w:val="bullet"/>
      <w:lvlText w:val=""/>
      <w:lvlJc w:val="left"/>
      <w:pPr>
        <w:ind w:left="3967" w:hanging="360"/>
      </w:pPr>
      <w:rPr>
        <w:rFonts w:ascii="Wingdings" w:hAnsi="Wingdings" w:cs="Wingdings" w:hint="default"/>
      </w:rPr>
    </w:lvl>
    <w:lvl w:ilvl="6">
      <w:start w:val="1"/>
      <w:numFmt w:val="bullet"/>
      <w:lvlText w:val=""/>
      <w:lvlJc w:val="left"/>
      <w:pPr>
        <w:ind w:left="4687" w:hanging="360"/>
      </w:pPr>
      <w:rPr>
        <w:rFonts w:ascii="Symbol" w:hAnsi="Symbol" w:cs="Symbol" w:hint="default"/>
      </w:rPr>
    </w:lvl>
    <w:lvl w:ilvl="7">
      <w:start w:val="1"/>
      <w:numFmt w:val="bullet"/>
      <w:lvlText w:val="o"/>
      <w:lvlJc w:val="left"/>
      <w:pPr>
        <w:ind w:left="5407" w:hanging="360"/>
      </w:pPr>
      <w:rPr>
        <w:rFonts w:ascii="Courier New" w:hAnsi="Courier New" w:cs="Courier New" w:hint="default"/>
        <w:rFonts w:cs="Courier New"/>
      </w:rPr>
    </w:lvl>
    <w:lvl w:ilvl="8">
      <w:start w:val="1"/>
      <w:numFmt w:val="bullet"/>
      <w:lvlText w:val=""/>
      <w:lvlJc w:val="left"/>
      <w:pPr>
        <w:ind w:left="6127" w:hanging="360"/>
      </w:pPr>
      <w:rPr>
        <w:rFonts w:ascii="Wingdings" w:hAnsi="Wingdings" w:cs="Wingdings" w:hint="default"/>
      </w:rPr>
    </w:lvl>
  </w:abstractNum>
  <w:abstractNum w:abstractNumI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embedSystemFonts/>
  <w:defaultTabStop w:val="72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it-IT" w:eastAsia="it-IT"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unhideWhenUsed="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3444d"/>
    <w:pPr>
      <w:widowControl/>
      <w:bidi w:val="0"/>
      <w:spacing w:lineRule="auto" w:line="276" w:before="0" w:after="200"/>
      <w:jc w:val="left"/>
    </w:pPr>
    <w:rPr>
      <w:rFonts w:ascii="Calibri" w:hAnsi="Calibri" w:eastAsia="Times New Roman" w:cs="Times New Roman"/>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fa356d"/>
    <w:rPr>
      <w:color w:val="0000FF"/>
      <w:u w:val="single"/>
    </w:rPr>
  </w:style>
  <w:style w:type="character" w:styleId="ListLabel1">
    <w:name w:val="ListLabel 1"/>
    <w:qFormat/>
    <w:rPr>
      <w:rFonts w:ascii="Times New Roman" w:hAnsi="Times New Roman" w:eastAsia="Times New Roman" w:cs="Times"/>
      <w:sz w:val="24"/>
    </w:rPr>
  </w:style>
  <w:style w:type="character" w:styleId="ListLabel2">
    <w:name w:val="ListLabel 2"/>
    <w:qFormat/>
    <w:rPr>
      <w:rFonts w:cs="Courier New"/>
    </w:rPr>
  </w:style>
  <w:style w:type="paragraph" w:styleId="Titolo">
    <w:name w:val="Titolo"/>
    <w:basedOn w:val="Normal"/>
    <w:next w:val="Corpodeltesto"/>
    <w:qFormat/>
    <w:pPr>
      <w:keepNext/>
      <w:spacing w:before="240" w:after="120"/>
    </w:pPr>
    <w:rPr>
      <w:rFonts w:ascii="Liberation Sans" w:hAnsi="Liberation Sans" w:eastAsia="Microsoft YaHei" w:cs="Mang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Mangal"/>
    </w:rPr>
  </w:style>
  <w:style w:type="paragraph" w:styleId="Didascalia">
    <w:name w:val="Didascalia"/>
    <w:basedOn w:val="Normal"/>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ListParagraph">
    <w:name w:val="List Paragraph"/>
    <w:basedOn w:val="Normal"/>
    <w:uiPriority w:val="34"/>
    <w:qFormat/>
    <w:rsid w:val="006a1364"/>
    <w:pPr>
      <w:ind w:left="708" w:hanging="0"/>
    </w:pPr>
    <w:rPr/>
  </w:style>
  <w:style w:type="numbering" w:styleId="NoList" w:default="1">
    <w:name w:val="No List"/>
    <w:uiPriority w:val="99"/>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table" w:styleId="Grigliatabella">
    <w:name w:val="Table Grid"/>
    <w:basedOn w:val="Tabellanormale"/>
    <w:uiPriority w:val="59"/>
    <w:rsid w:val="00a80ebe"/>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Application>LibreOffice/5.0.4.2$Windows_x86 LibreOffice_project/2b9802c1994aa0b7dc6079e128979269cf95bc78</Application>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2016-06-08T12:18:00Z</dcterms:created>
  <dc:language>it-IT</dc:language>
  <dcterms:modified xsi:type="dcterms:W3CDTF">2018-10-09T09:17:18Z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